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847518">
      <w:pPr>
        <w:jc w:val="center"/>
        <w:rPr>
          <w:rFonts w:hint="default" w:eastAsia="宋体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2025年春学期金坛一中生物教研组工作计划</w:t>
      </w:r>
    </w:p>
    <w:p w14:paraId="3082A338">
      <w:pPr>
        <w:ind w:firstLine="480" w:firstLineChars="200"/>
        <w:rPr/>
      </w:pPr>
      <w:r>
        <w:t>生物教研组是一个有朝气、团结协作、人人争先、后劲十足的集体，各项工作的开展比较顺利，在各个方面都取得了较好的成绩，但我们知道，随着教育教学改革的深入，我们的许多工作还得细化、强化、做实。五育融合，关爱每一个学生，努力提升每一个学生的科学素养，为祖国培养所需要的人才多做贡献。</w:t>
      </w:r>
    </w:p>
    <w:p w14:paraId="442CE6B9">
      <w:pPr>
        <w:rPr>
          <w:b/>
          <w:bCs/>
        </w:rPr>
      </w:pPr>
      <w:r>
        <w:rPr>
          <w:b/>
          <w:bCs/>
        </w:rPr>
        <w:t>一、本学期工作指导思想</w:t>
      </w:r>
    </w:p>
    <w:p w14:paraId="69E705A0">
      <w:pPr>
        <w:ind w:firstLine="240" w:firstLineChars="100"/>
        <w:rPr/>
      </w:pPr>
      <w:r>
        <w:t>根据学校</w:t>
      </w:r>
      <w:r>
        <w:rPr>
          <w:rFonts w:hint="eastAsia"/>
          <w:lang w:val="en-US" w:eastAsia="zh-CN"/>
        </w:rPr>
        <w:t>教师发展</w:t>
      </w:r>
      <w:r>
        <w:t>处工作要点和学校</w:t>
      </w:r>
      <w:r>
        <w:rPr>
          <w:rFonts w:hint="eastAsia"/>
          <w:lang w:val="en-US" w:eastAsia="zh-CN"/>
        </w:rPr>
        <w:t>前瞻性项目</w:t>
      </w:r>
      <w:r>
        <w:t>要求，本学期教研组的教学工作将以“落实教学常规管理，确保教育教学质量，凸显学校特色发展”为核心抓手，落实常规工作的规范性，突出团结与协作；发挥教研组的特色，突出年轻教师的积极性。要求每人有目标，每人形成自己的特色。稳定、发展、提高是工作的目的，全面提升教学质量。</w:t>
      </w:r>
    </w:p>
    <w:p w14:paraId="75D16313">
      <w:pPr>
        <w:rPr>
          <w:b/>
          <w:bCs/>
        </w:rPr>
      </w:pPr>
      <w:r>
        <w:rPr>
          <w:b/>
          <w:bCs/>
        </w:rPr>
        <w:t>二、具体工作计划安排</w:t>
      </w:r>
    </w:p>
    <w:p w14:paraId="67512C72">
      <w:pPr>
        <w:rPr>
          <w:b/>
          <w:bCs/>
        </w:rPr>
      </w:pPr>
      <w:r>
        <w:rPr>
          <w:b/>
          <w:bCs/>
        </w:rPr>
        <w:t>1</w:t>
      </w:r>
      <w:r>
        <w:rPr>
          <w:rFonts w:hint="eastAsia"/>
          <w:b/>
          <w:bCs/>
          <w:lang w:eastAsia="zh-CN"/>
        </w:rPr>
        <w:t>.</w:t>
      </w:r>
      <w:r>
        <w:rPr>
          <w:b/>
          <w:bCs/>
        </w:rPr>
        <w:t>强化教学常规，提升教学质量。</w:t>
      </w:r>
    </w:p>
    <w:p w14:paraId="116D3644">
      <w:pPr>
        <w:rPr/>
      </w:pPr>
      <w:r>
        <w:t>（1）钻研教材、精心设计、凸显个性、扎实有效、教学相长、精选精练、减负增效、分层辅导、提优补差、多元评价、激励提高。</w:t>
      </w:r>
    </w:p>
    <w:p w14:paraId="6801EE58">
      <w:pPr>
        <w:rPr/>
      </w:pPr>
      <w:r>
        <w:t>（2）高度重视实验教学功能，营造良好实验教学氛围，确保实验教学有效展开。</w:t>
      </w:r>
    </w:p>
    <w:p w14:paraId="75193268">
      <w:pPr>
        <w:rPr/>
      </w:pPr>
      <w:r>
        <w:t>（3）制定合理个人目标，发扬爱岗敬业的精神风貌，抓住机会，敢于挑战。</w:t>
      </w:r>
    </w:p>
    <w:p w14:paraId="5E265D27">
      <w:pPr>
        <w:rPr/>
      </w:pPr>
      <w:r>
        <w:t>（4）重视中高考改革，深入优化适切学校实际的教学管理模式；认真学习新课程标准，探索确实有效的教学方法；认真研究现行高考3+3的特点，使之落实到平时的教育教学活动中，以提高课堂教学有效性。</w:t>
      </w:r>
    </w:p>
    <w:p w14:paraId="5B6FFB71">
      <w:pPr>
        <w:rPr>
          <w:b/>
          <w:bCs/>
        </w:rPr>
      </w:pPr>
      <w:r>
        <w:rPr>
          <w:b/>
          <w:bCs/>
        </w:rPr>
        <w:t>2</w:t>
      </w:r>
      <w:r>
        <w:rPr>
          <w:rFonts w:hint="eastAsia"/>
          <w:b/>
          <w:bCs/>
          <w:lang w:eastAsia="zh-CN"/>
        </w:rPr>
        <w:t>.</w:t>
      </w:r>
      <w:r>
        <w:rPr>
          <w:b/>
          <w:bCs/>
        </w:rPr>
        <w:t>凸显人文素养，构建特色课程</w:t>
      </w:r>
    </w:p>
    <w:p w14:paraId="6CD33095">
      <w:pPr>
        <w:ind w:firstLine="480" w:firstLineChars="200"/>
        <w:rPr/>
      </w:pPr>
      <w:r>
        <w:t>围绕学校的特色高中建设，继续探索和开展活动，打造生物学科特点，助推学校</w:t>
      </w:r>
      <w:r>
        <w:rPr>
          <w:rFonts w:hint="eastAsia"/>
          <w:lang w:val="en-US" w:eastAsia="zh-CN"/>
        </w:rPr>
        <w:t>前瞻性项目</w:t>
      </w:r>
      <w:r>
        <w:t>建设，具体做法如下：</w:t>
      </w:r>
    </w:p>
    <w:p w14:paraId="45A79506">
      <w:pPr>
        <w:rPr/>
      </w:pPr>
      <w:r>
        <w:t>（1）基础性课程：注重收集，积极思考，在课堂教学中的情境导入、重难点突破、总结回顾等教学环节中，渗透与本节课的知识相关联的</w:t>
      </w:r>
      <w:r>
        <w:rPr>
          <w:rFonts w:hint="eastAsia"/>
          <w:lang w:val="en-US" w:eastAsia="zh-CN"/>
        </w:rPr>
        <w:t>思政、</w:t>
      </w:r>
      <w:r>
        <w:t>中华经典诗词或典故，提高学生兴趣，加深学习印象，又能传承经典文化。</w:t>
      </w:r>
    </w:p>
    <w:p w14:paraId="4AC740DA">
      <w:pPr>
        <w:rPr/>
      </w:pPr>
      <w:r>
        <w:t>（2）研究型课程：依托分子生物和组织培养创新实验室，组织学生开展自主探究实验，培养学生勤于思考，创新实践等能力；</w:t>
      </w:r>
    </w:p>
    <w:p w14:paraId="093E37A2">
      <w:pPr>
        <w:rPr>
          <w:b/>
          <w:bCs/>
        </w:rPr>
      </w:pPr>
      <w:r>
        <w:rPr>
          <w:b/>
          <w:bCs/>
        </w:rPr>
        <w:t>3</w:t>
      </w:r>
      <w:r>
        <w:rPr>
          <w:rFonts w:hint="eastAsia"/>
          <w:b/>
          <w:bCs/>
          <w:lang w:eastAsia="zh-CN"/>
        </w:rPr>
        <w:t>.</w:t>
      </w:r>
      <w:r>
        <w:rPr>
          <w:b/>
          <w:bCs/>
        </w:rPr>
        <w:t>加强校本教研，促进教师专业发展</w:t>
      </w:r>
    </w:p>
    <w:p w14:paraId="51F8FD8E">
      <w:pPr>
        <w:rPr/>
      </w:pPr>
      <w:r>
        <w:t>（1）本学期高中生物教研组除了积极参与到学校的特色高中的创建之中，同时还要做好校本教材的开发和试题研究，精选精讲精练，不断提高课堂教学的有效性。此外，还要进行</w:t>
      </w:r>
      <w:r>
        <w:rPr>
          <w:rFonts w:hint="eastAsia"/>
          <w:lang w:val="en-US" w:eastAsia="zh-CN"/>
        </w:rPr>
        <w:t>竞赛辅导</w:t>
      </w:r>
      <w:r>
        <w:t>、</w:t>
      </w:r>
      <w:r>
        <w:rPr>
          <w:rFonts w:hint="eastAsia"/>
          <w:lang w:val="en-US" w:eastAsia="zh-CN"/>
        </w:rPr>
        <w:t>高考研究</w:t>
      </w:r>
      <w:r>
        <w:t>、学生学法</w:t>
      </w:r>
      <w:r>
        <w:rPr>
          <w:rFonts w:hint="eastAsia"/>
          <w:lang w:val="en-US" w:eastAsia="zh-CN"/>
        </w:rPr>
        <w:t>指导</w:t>
      </w:r>
      <w:r>
        <w:t>等的研究工作。使高中</w:t>
      </w:r>
      <w:r>
        <w:rPr>
          <w:rFonts w:hint="eastAsia"/>
          <w:lang w:val="en-US" w:eastAsia="zh-CN"/>
        </w:rPr>
        <w:t>生物</w:t>
      </w:r>
      <w:r>
        <w:t>组成为整体水平高、个人有特色的教研组。</w:t>
      </w:r>
    </w:p>
    <w:p w14:paraId="712411B8">
      <w:pPr>
        <w:rPr/>
      </w:pPr>
      <w:r>
        <w:t>（2）生物教研组的备课组活动时间安排在每周四上午，地点</w:t>
      </w:r>
      <w:r>
        <w:rPr>
          <w:rFonts w:hint="eastAsia"/>
          <w:lang w:val="en-US" w:eastAsia="zh-CN"/>
        </w:rPr>
        <w:t>在图书馆二楼</w:t>
      </w:r>
      <w:r>
        <w:t>，在教研组活动时间，深入开展教科研工作，并指导教学过程，带动全组教师的教科研意识。</w:t>
      </w:r>
    </w:p>
    <w:p w14:paraId="7F1CB719">
      <w:pPr>
        <w:rPr/>
      </w:pPr>
      <w:r>
        <w:t>（3）深入开展教学研究活动，根据生物学科特点与学生情况，结合学校特色发展和提升教学质量等主要工作目标，制定教研组活动计划，落实工作内容。努力做到活动系列化、主题化。继续完善教研组和备课组考核制度，力求通过加强教研组、备课组建设来拓展教学内涵，提高教师专业化水平。</w:t>
      </w:r>
    </w:p>
    <w:p w14:paraId="764A99CA">
      <w:pPr>
        <w:rPr/>
      </w:pPr>
      <w:r>
        <w:t>（4）积极构建绿色质量体系，认真做好</w:t>
      </w:r>
      <w:r>
        <w:rPr>
          <w:rFonts w:hint="eastAsia"/>
          <w:lang w:val="en-US" w:eastAsia="zh-CN"/>
        </w:rPr>
        <w:t>阶段作业</w:t>
      </w:r>
      <w:r>
        <w:t>、期中</w:t>
      </w:r>
      <w:r>
        <w:rPr>
          <w:rFonts w:hint="eastAsia"/>
          <w:lang w:val="en-US" w:eastAsia="zh-CN"/>
        </w:rPr>
        <w:t>检测</w:t>
      </w:r>
      <w:r>
        <w:t>和期末考试工作，做到每次测试有目标、有重点、有分析、有反馈，推进学校教学质量稳步提升。</w:t>
      </w:r>
    </w:p>
    <w:p w14:paraId="732EFB9D">
      <w:pPr>
        <w:rPr>
          <w:b/>
          <w:bCs/>
        </w:rPr>
      </w:pPr>
      <w:r>
        <w:rPr>
          <w:b/>
          <w:bCs/>
        </w:rPr>
        <w:t>4</w:t>
      </w:r>
      <w:r>
        <w:rPr>
          <w:rFonts w:hint="eastAsia"/>
          <w:b/>
          <w:bCs/>
          <w:lang w:eastAsia="zh-CN"/>
        </w:rPr>
        <w:t>.</w:t>
      </w:r>
      <w:r>
        <w:rPr>
          <w:b/>
          <w:bCs/>
        </w:rPr>
        <w:t>进一步完善实验室的管理</w:t>
      </w:r>
    </w:p>
    <w:p w14:paraId="04EB1001">
      <w:pPr>
        <w:rPr/>
      </w:pPr>
      <w:r>
        <w:t>（1）提高实验室的开设率</w:t>
      </w:r>
    </w:p>
    <w:p w14:paraId="73E0C046">
      <w:pPr>
        <w:rPr/>
      </w:pPr>
      <w:r>
        <w:t>①凡是课程标准要求的实验一律开足、开齐。</w:t>
      </w:r>
    </w:p>
    <w:p w14:paraId="461BE15B">
      <w:pPr>
        <w:rPr/>
      </w:pPr>
      <w:r>
        <w:t>②实验室利用课余时间对于有兴趣的学生开放，由学校派专人辅导、管理。</w:t>
      </w:r>
    </w:p>
    <w:p w14:paraId="676D5EEB">
      <w:pPr>
        <w:rPr/>
      </w:pPr>
      <w:r>
        <w:t>③原本在教室进行的演示实验改到实验室进行，教师加强对学生的管理。</w:t>
      </w:r>
    </w:p>
    <w:p w14:paraId="3B2AC116">
      <w:pPr>
        <w:rPr/>
      </w:pPr>
      <w:r>
        <w:t>（2）优化实验室环境建设</w:t>
      </w:r>
    </w:p>
    <w:p w14:paraId="265A7FE0">
      <w:pPr>
        <w:rPr/>
      </w:pPr>
      <w:r>
        <w:t>①常规资料分类存放</w:t>
      </w:r>
    </w:p>
    <w:p w14:paraId="000EC806">
      <w:pPr>
        <w:rPr/>
      </w:pPr>
      <w:r>
        <w:t>②实验资料“档案化”存放</w:t>
      </w:r>
    </w:p>
    <w:p w14:paraId="1A0949F3">
      <w:pPr>
        <w:rPr/>
      </w:pPr>
      <w:r>
        <w:t>③仪器药品分类存放</w:t>
      </w:r>
    </w:p>
    <w:p w14:paraId="6DBC6C66">
      <w:pPr>
        <w:rPr/>
      </w:pPr>
      <w:r>
        <w:t>④绿化、美化实验室环境</w:t>
      </w:r>
    </w:p>
    <w:p w14:paraId="0753F3E8">
      <w:pPr>
        <w:rPr/>
      </w:pPr>
      <w:r>
        <w:t>（3）教师加强实验教学研究</w:t>
      </w:r>
    </w:p>
    <w:p w14:paraId="712BF0C3">
      <w:pPr>
        <w:rPr/>
      </w:pPr>
      <w:r>
        <w:rPr>
          <w:rFonts w:hint="eastAsia"/>
          <w:lang w:val="en-US" w:eastAsia="zh-CN"/>
        </w:rPr>
        <w:t>5.</w:t>
      </w:r>
      <w:r>
        <w:t>各年级工作任务和目标：</w:t>
      </w:r>
    </w:p>
    <w:p w14:paraId="1EBC283B">
      <w:pPr>
        <w:rPr/>
      </w:pPr>
      <w:r>
        <w:t>（1）高一年级：由</w:t>
      </w:r>
      <w:r>
        <w:rPr>
          <w:rFonts w:hint="eastAsia"/>
          <w:lang w:val="en-US" w:eastAsia="zh-CN"/>
        </w:rPr>
        <w:t>陆丽丹担任</w:t>
      </w:r>
      <w:r>
        <w:t>备课组组长，以</w:t>
      </w:r>
      <w:r>
        <w:rPr>
          <w:rFonts w:hint="eastAsia"/>
          <w:lang w:val="en-US" w:eastAsia="zh-CN"/>
        </w:rPr>
        <w:t>选秀教学</w:t>
      </w:r>
      <w:r>
        <w:t>工作为重点，</w:t>
      </w:r>
      <w:r>
        <w:rPr>
          <w:rFonts w:hint="eastAsia"/>
          <w:lang w:val="en-US" w:eastAsia="zh-CN"/>
        </w:rPr>
        <w:t>必修教学不放松，</w:t>
      </w:r>
      <w:r>
        <w:t>以此巩固学生的学科素质，注重学习技巧的研究。同时加强学科的“兴趣、入门”教育，强化基础知识和基本技能的形成，适时进行学习方法和实验技能指导。</w:t>
      </w:r>
    </w:p>
    <w:p w14:paraId="671EB339">
      <w:pPr>
        <w:rPr/>
      </w:pPr>
      <w:r>
        <w:t>（2）高二年级：由</w:t>
      </w:r>
      <w:r>
        <w:rPr>
          <w:rFonts w:hint="eastAsia"/>
          <w:lang w:val="en-US" w:eastAsia="zh-CN"/>
        </w:rPr>
        <w:t>景爱忠</w:t>
      </w:r>
      <w:r>
        <w:t>老师</w:t>
      </w:r>
      <w:r>
        <w:rPr>
          <w:rFonts w:hint="eastAsia"/>
          <w:lang w:val="en-US" w:eastAsia="zh-CN"/>
        </w:rPr>
        <w:t>担任</w:t>
      </w:r>
      <w:r>
        <w:t>备课组长，加强</w:t>
      </w:r>
      <w:r>
        <w:rPr>
          <w:rFonts w:hint="eastAsia"/>
          <w:lang w:val="en-US" w:eastAsia="zh-CN"/>
        </w:rPr>
        <w:t>一轮复习</w:t>
      </w:r>
      <w:r>
        <w:t>研究，精讲精练，提高课堂教学的有效性，努力提高学生生物等级考成绩和生命科学素养。</w:t>
      </w:r>
    </w:p>
    <w:p w14:paraId="5C6B23F0">
      <w:pPr>
        <w:rPr/>
      </w:pPr>
      <w:r>
        <w:t>（</w:t>
      </w:r>
      <w:r>
        <w:rPr>
          <w:rFonts w:hint="eastAsia"/>
          <w:lang w:val="en-US" w:eastAsia="zh-CN"/>
        </w:rPr>
        <w:t>3</w:t>
      </w:r>
      <w:r>
        <w:t>）高</w:t>
      </w:r>
      <w:r>
        <w:rPr>
          <w:rFonts w:hint="eastAsia"/>
          <w:lang w:val="en-US" w:eastAsia="zh-CN"/>
        </w:rPr>
        <w:t>三</w:t>
      </w:r>
      <w:r>
        <w:t>年级：由</w:t>
      </w:r>
      <w:r>
        <w:rPr>
          <w:rFonts w:hint="eastAsia"/>
          <w:lang w:val="en-US" w:eastAsia="zh-CN"/>
        </w:rPr>
        <w:t>倪莹莹</w:t>
      </w:r>
      <w:r>
        <w:t>老师</w:t>
      </w:r>
      <w:r>
        <w:rPr>
          <w:rFonts w:hint="eastAsia"/>
          <w:lang w:val="en-US" w:eastAsia="zh-CN"/>
        </w:rPr>
        <w:t>担任</w:t>
      </w:r>
      <w:r>
        <w:t>备课组长，</w:t>
      </w:r>
      <w:r>
        <w:rPr>
          <w:rFonts w:hint="eastAsia"/>
          <w:lang w:val="en-US" w:eastAsia="zh-CN"/>
        </w:rPr>
        <w:t>重点落实高考的研究，</w:t>
      </w:r>
      <w:r>
        <w:t>根据学校安排，适时进行</w:t>
      </w:r>
      <w:r>
        <w:rPr>
          <w:rFonts w:hint="eastAsia"/>
          <w:lang w:val="en-US" w:eastAsia="zh-CN"/>
        </w:rPr>
        <w:t>备课组</w:t>
      </w:r>
      <w:r>
        <w:t>教研活动。具体内容如下：</w:t>
      </w:r>
    </w:p>
    <w:p w14:paraId="20F95F7A">
      <w:pPr>
        <w:rPr/>
      </w:pPr>
      <w:r>
        <w:t>①回顾</w:t>
      </w:r>
      <w:r>
        <w:rPr>
          <w:rFonts w:hint="eastAsia"/>
          <w:lang w:val="en-US" w:eastAsia="zh-CN"/>
        </w:rPr>
        <w:t>前阶段</w:t>
      </w:r>
      <w:r>
        <w:t>教育教学成果，进行教学质量分析，制定教学计划。</w:t>
      </w:r>
    </w:p>
    <w:p w14:paraId="475E97E7">
      <w:pPr>
        <w:rPr/>
      </w:pPr>
      <w:r>
        <w:t>②讨论</w:t>
      </w:r>
      <w:r>
        <w:rPr>
          <w:rFonts w:hint="eastAsia"/>
          <w:lang w:val="en-US" w:eastAsia="zh-CN"/>
        </w:rPr>
        <w:t>高考复习</w:t>
      </w:r>
      <w:r>
        <w:t>教学有效性的提高与落实。</w:t>
      </w:r>
      <w:bookmarkStart w:id="0" w:name="_GoBack"/>
      <w:bookmarkEnd w:id="0"/>
    </w:p>
    <w:p w14:paraId="04A30884">
      <w:pPr>
        <w:rPr/>
      </w:pPr>
      <w:r>
        <w:t>③落实教学常规，作业的分层设计，进行课后反思。</w:t>
      </w:r>
    </w:p>
    <w:p w14:paraId="28181D1A">
      <w:r>
        <w:t>④教师相互听课，本学期组内的公开教学研讨活动。</w:t>
      </w:r>
    </w:p>
    <w:p w14:paraId="68243A7E"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附：公开课安排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1676"/>
        <w:gridCol w:w="2583"/>
        <w:gridCol w:w="1617"/>
        <w:gridCol w:w="2643"/>
      </w:tblGrid>
      <w:tr w14:paraId="064E17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676" w:type="dxa"/>
            <w:vAlign w:val="center"/>
          </w:tcPr>
          <w:p w14:paraId="59428F3C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周次</w:t>
            </w:r>
          </w:p>
        </w:tc>
        <w:tc>
          <w:tcPr>
            <w:tcW w:w="2583" w:type="dxa"/>
            <w:vAlign w:val="center"/>
          </w:tcPr>
          <w:p w14:paraId="696FBF52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公开课</w:t>
            </w:r>
          </w:p>
        </w:tc>
        <w:tc>
          <w:tcPr>
            <w:tcW w:w="1617" w:type="dxa"/>
            <w:vAlign w:val="center"/>
          </w:tcPr>
          <w:p w14:paraId="711E2898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周次</w:t>
            </w:r>
          </w:p>
        </w:tc>
        <w:tc>
          <w:tcPr>
            <w:tcW w:w="2643" w:type="dxa"/>
            <w:vAlign w:val="center"/>
          </w:tcPr>
          <w:p w14:paraId="33884772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微讲座（理论学习）</w:t>
            </w:r>
          </w:p>
        </w:tc>
      </w:tr>
      <w:tr w14:paraId="68585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676" w:type="dxa"/>
            <w:vAlign w:val="center"/>
          </w:tcPr>
          <w:p w14:paraId="13093504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2583" w:type="dxa"/>
            <w:vAlign w:val="center"/>
          </w:tcPr>
          <w:p w14:paraId="39E443BA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陈笑</w:t>
            </w:r>
          </w:p>
        </w:tc>
        <w:tc>
          <w:tcPr>
            <w:tcW w:w="1617" w:type="dxa"/>
            <w:vAlign w:val="center"/>
          </w:tcPr>
          <w:p w14:paraId="448ABA54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2643" w:type="dxa"/>
            <w:vAlign w:val="center"/>
          </w:tcPr>
          <w:p w14:paraId="10EA5270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寇红红</w:t>
            </w:r>
          </w:p>
        </w:tc>
      </w:tr>
      <w:tr w14:paraId="6E4EB6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676" w:type="dxa"/>
            <w:vAlign w:val="center"/>
          </w:tcPr>
          <w:p w14:paraId="7E255AE7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2583" w:type="dxa"/>
            <w:vAlign w:val="center"/>
          </w:tcPr>
          <w:p w14:paraId="3776487E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亢孟思</w:t>
            </w:r>
          </w:p>
        </w:tc>
        <w:tc>
          <w:tcPr>
            <w:tcW w:w="1617" w:type="dxa"/>
            <w:vAlign w:val="center"/>
          </w:tcPr>
          <w:p w14:paraId="1CC65CF8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2643" w:type="dxa"/>
            <w:vAlign w:val="center"/>
          </w:tcPr>
          <w:p w14:paraId="717455F7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徐晶</w:t>
            </w:r>
          </w:p>
        </w:tc>
      </w:tr>
      <w:tr w14:paraId="2B34BD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676" w:type="dxa"/>
            <w:vAlign w:val="center"/>
          </w:tcPr>
          <w:p w14:paraId="5DF8F21B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2583" w:type="dxa"/>
            <w:vAlign w:val="center"/>
          </w:tcPr>
          <w:p w14:paraId="328603EC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陆丽丹</w:t>
            </w:r>
          </w:p>
        </w:tc>
        <w:tc>
          <w:tcPr>
            <w:tcW w:w="1617" w:type="dxa"/>
            <w:vAlign w:val="center"/>
          </w:tcPr>
          <w:p w14:paraId="3512AFE3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</w:t>
            </w:r>
          </w:p>
        </w:tc>
        <w:tc>
          <w:tcPr>
            <w:tcW w:w="2643" w:type="dxa"/>
            <w:vAlign w:val="center"/>
          </w:tcPr>
          <w:p w14:paraId="0099810B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刘华林</w:t>
            </w:r>
          </w:p>
        </w:tc>
      </w:tr>
      <w:tr w14:paraId="413F5E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676" w:type="dxa"/>
            <w:vAlign w:val="center"/>
          </w:tcPr>
          <w:p w14:paraId="158270B1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</w:t>
            </w:r>
          </w:p>
        </w:tc>
        <w:tc>
          <w:tcPr>
            <w:tcW w:w="2583" w:type="dxa"/>
            <w:vAlign w:val="center"/>
          </w:tcPr>
          <w:p w14:paraId="1203F101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倪莹莹</w:t>
            </w:r>
          </w:p>
        </w:tc>
        <w:tc>
          <w:tcPr>
            <w:tcW w:w="1617" w:type="dxa"/>
            <w:vAlign w:val="center"/>
          </w:tcPr>
          <w:p w14:paraId="1A23982E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</w:t>
            </w:r>
          </w:p>
        </w:tc>
        <w:tc>
          <w:tcPr>
            <w:tcW w:w="2643" w:type="dxa"/>
            <w:vAlign w:val="center"/>
          </w:tcPr>
          <w:p w14:paraId="420AC036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陈笑</w:t>
            </w:r>
          </w:p>
        </w:tc>
      </w:tr>
      <w:tr w14:paraId="35C62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676" w:type="dxa"/>
            <w:vAlign w:val="center"/>
          </w:tcPr>
          <w:p w14:paraId="7064B362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</w:t>
            </w:r>
          </w:p>
        </w:tc>
        <w:tc>
          <w:tcPr>
            <w:tcW w:w="2583" w:type="dxa"/>
            <w:vAlign w:val="center"/>
          </w:tcPr>
          <w:p w14:paraId="025D6AE9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朱丹华</w:t>
            </w:r>
          </w:p>
        </w:tc>
        <w:tc>
          <w:tcPr>
            <w:tcW w:w="1617" w:type="dxa"/>
            <w:vAlign w:val="center"/>
          </w:tcPr>
          <w:p w14:paraId="4EFE9119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11</w:t>
            </w:r>
          </w:p>
        </w:tc>
        <w:tc>
          <w:tcPr>
            <w:tcW w:w="2643" w:type="dxa"/>
            <w:vAlign w:val="center"/>
          </w:tcPr>
          <w:p w14:paraId="0882B60E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景爱忠</w:t>
            </w:r>
          </w:p>
        </w:tc>
      </w:tr>
      <w:tr w14:paraId="697665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676" w:type="dxa"/>
            <w:vAlign w:val="center"/>
          </w:tcPr>
          <w:p w14:paraId="52234F97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14</w:t>
            </w:r>
          </w:p>
        </w:tc>
        <w:tc>
          <w:tcPr>
            <w:tcW w:w="2583" w:type="dxa"/>
            <w:vAlign w:val="center"/>
          </w:tcPr>
          <w:p w14:paraId="5D13C124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寇红红</w:t>
            </w:r>
          </w:p>
        </w:tc>
        <w:tc>
          <w:tcPr>
            <w:tcW w:w="1617" w:type="dxa"/>
            <w:vAlign w:val="center"/>
          </w:tcPr>
          <w:p w14:paraId="3C87CBD5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13</w:t>
            </w:r>
          </w:p>
        </w:tc>
        <w:tc>
          <w:tcPr>
            <w:tcW w:w="2643" w:type="dxa"/>
            <w:vAlign w:val="center"/>
          </w:tcPr>
          <w:p w14:paraId="56A39196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亢孟思</w:t>
            </w:r>
          </w:p>
        </w:tc>
      </w:tr>
      <w:tr w14:paraId="5C189D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676" w:type="dxa"/>
            <w:vAlign w:val="center"/>
          </w:tcPr>
          <w:p w14:paraId="64AA8403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16</w:t>
            </w:r>
          </w:p>
        </w:tc>
        <w:tc>
          <w:tcPr>
            <w:tcW w:w="2583" w:type="dxa"/>
            <w:vAlign w:val="center"/>
          </w:tcPr>
          <w:p w14:paraId="7004B941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景爱忠</w:t>
            </w:r>
          </w:p>
        </w:tc>
        <w:tc>
          <w:tcPr>
            <w:tcW w:w="1617" w:type="dxa"/>
            <w:vAlign w:val="center"/>
          </w:tcPr>
          <w:p w14:paraId="4F3C4C2C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15</w:t>
            </w:r>
          </w:p>
        </w:tc>
        <w:tc>
          <w:tcPr>
            <w:tcW w:w="2643" w:type="dxa"/>
            <w:vAlign w:val="center"/>
          </w:tcPr>
          <w:p w14:paraId="0305A500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陆丽丹</w:t>
            </w:r>
          </w:p>
        </w:tc>
      </w:tr>
      <w:tr w14:paraId="745E3A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676" w:type="dxa"/>
            <w:vAlign w:val="center"/>
          </w:tcPr>
          <w:p w14:paraId="3807C94F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18</w:t>
            </w:r>
          </w:p>
        </w:tc>
        <w:tc>
          <w:tcPr>
            <w:tcW w:w="2583" w:type="dxa"/>
            <w:vAlign w:val="center"/>
          </w:tcPr>
          <w:p w14:paraId="1C290E9F">
            <w:pPr>
              <w:jc w:val="center"/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刘华林</w:t>
            </w:r>
          </w:p>
        </w:tc>
        <w:tc>
          <w:tcPr>
            <w:tcW w:w="1617" w:type="dxa"/>
            <w:vAlign w:val="center"/>
          </w:tcPr>
          <w:p w14:paraId="2A078957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17</w:t>
            </w:r>
          </w:p>
        </w:tc>
        <w:tc>
          <w:tcPr>
            <w:tcW w:w="2643" w:type="dxa"/>
            <w:vAlign w:val="center"/>
          </w:tcPr>
          <w:p w14:paraId="7032A760">
            <w:pPr>
              <w:jc w:val="center"/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吕华</w:t>
            </w:r>
          </w:p>
        </w:tc>
      </w:tr>
      <w:tr w14:paraId="3F903A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676" w:type="dxa"/>
            <w:vAlign w:val="center"/>
          </w:tcPr>
          <w:p w14:paraId="534C9718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</w:t>
            </w:r>
          </w:p>
        </w:tc>
        <w:tc>
          <w:tcPr>
            <w:tcW w:w="2583" w:type="dxa"/>
            <w:vAlign w:val="center"/>
          </w:tcPr>
          <w:p w14:paraId="4CB2EE38">
            <w:pPr>
              <w:jc w:val="center"/>
              <w:rPr>
                <w:vertAlign w:val="baseline"/>
              </w:rPr>
            </w:pPr>
          </w:p>
        </w:tc>
        <w:tc>
          <w:tcPr>
            <w:tcW w:w="1617" w:type="dxa"/>
            <w:vAlign w:val="center"/>
          </w:tcPr>
          <w:p w14:paraId="399A3998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19</w:t>
            </w:r>
          </w:p>
        </w:tc>
        <w:tc>
          <w:tcPr>
            <w:tcW w:w="2643" w:type="dxa"/>
            <w:vAlign w:val="center"/>
          </w:tcPr>
          <w:p w14:paraId="125F5B1D">
            <w:pPr>
              <w:jc w:val="center"/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王江源</w:t>
            </w:r>
          </w:p>
        </w:tc>
      </w:tr>
    </w:tbl>
    <w:p w14:paraId="7DE262B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D576EA"/>
    <w:rsid w:val="18D57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宋体"/>
      <w:color w:val="161616"/>
      <w:kern w:val="2"/>
      <w:sz w:val="24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uiPriority w:val="99"/>
    <w:pPr>
      <w:spacing w:before="100" w:beforeAutospacing="1" w:after="100" w:afterAutospacing="1"/>
    </w:p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21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2025-02-12T04:21:00Z</dcterms:created>
  <dc:creator>小圆果</dc:creator>
  <cp:lastModifiedBy>小圆果</cp:lastModifiedBy>
  <dcterms:modified xsi:type="dcterms:W3CDTF">2025-02-12T04:57:49Z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8B15C097E02047BFA6A8EE293EACB821_11</vt:lpwstr>
  </property>
  <property fmtid="{D5CDD505-2E9C-101B-9397-08002B2CF9AE}" pid="4" name="KSOTemplateDocerSaveRecord">
    <vt:lpwstr>eyJoZGlkIjoiMzEwNTM5NzYwMDRjMzkwZTVkZjY2ODkwMGIxNGU0OTUiLCJ1c2VySWQiOiI1Nzk5NTIzMzcifQ==</vt:lpwstr>
  </property>
</Properties>
</file>